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A7087C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A7087C" w:rsidRPr="00A7087C" w:rsidRDefault="00A7087C" w:rsidP="00A7087C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A7087C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A7087C" w:rsidRPr="00A7087C" w:rsidRDefault="00A7087C" w:rsidP="00A7087C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A7087C" w:rsidRPr="00A7087C" w:rsidTr="004D6346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A7087C" w:rsidRPr="00A7087C" w:rsidRDefault="00A7087C" w:rsidP="00A7087C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A7087C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A7087C" w:rsidRPr="00A7087C" w:rsidRDefault="00A7087C" w:rsidP="00A7087C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A7087C">
              <w:rPr>
                <w:rFonts w:ascii="Calibri Light" w:eastAsia="Times New Roman" w:hAnsi="Calibri Light" w:cs="Times New Roman"/>
                <w:szCs w:val="20"/>
                <w:lang w:val="en-US"/>
              </w:rPr>
              <w:t>Cassels Brock &amp; Blackwell LLP</w:t>
            </w:r>
          </w:p>
        </w:tc>
      </w:tr>
    </w:tbl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A7087C">
        <w:rPr>
          <w:rFonts w:ascii="Calibri Light" w:eastAsia="Times New Roman" w:hAnsi="Calibri Light" w:cs="Times New Roman"/>
          <w:szCs w:val="20"/>
          <w:lang w:val="en-US"/>
        </w:rPr>
        <w:t>Cassels Brock &amp; Blackwell</w:t>
      </w: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7087C" w:rsidRPr="00A7087C" w:rsidRDefault="00A7087C" w:rsidP="00A7087C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A7087C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A7087C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A5740B" w:rsidRPr="00D127DE" w:rsidRDefault="00A5740B">
      <w:pPr>
        <w:rPr>
          <w:lang w:val="en-US"/>
        </w:rPr>
      </w:pPr>
      <w:bookmarkStart w:id="0" w:name="_GoBack"/>
      <w:bookmarkEnd w:id="0"/>
    </w:p>
    <w:sectPr w:rsidR="00A5740B" w:rsidRPr="00D127DE" w:rsidSect="00D127DE">
      <w:pgSz w:w="12240" w:h="15840"/>
      <w:pgMar w:top="1440" w:right="1440" w:bottom="1440" w:left="172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DE"/>
    <w:rsid w:val="00A5740B"/>
    <w:rsid w:val="00A7087C"/>
    <w:rsid w:val="00D1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B30210-7991-4387-9979-2B28A09B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2</cp:revision>
  <dcterms:created xsi:type="dcterms:W3CDTF">2017-02-21T15:25:00Z</dcterms:created>
  <dcterms:modified xsi:type="dcterms:W3CDTF">2017-02-21T15:25:00Z</dcterms:modified>
</cp:coreProperties>
</file>